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99" w:rsidRPr="00181686" w:rsidRDefault="007E5E99" w:rsidP="007E5E99">
      <w:pPr>
        <w:pStyle w:val="Header"/>
        <w:spacing w:before="12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81686">
        <w:rPr>
          <w:rFonts w:ascii="Arial" w:hAnsi="Arial" w:cs="Arial"/>
          <w:b/>
          <w:sz w:val="22"/>
          <w:szCs w:val="22"/>
          <w:u w:val="single"/>
        </w:rPr>
        <w:t xml:space="preserve">Government Response to </w:t>
      </w:r>
      <w:r w:rsidR="00181686" w:rsidRPr="00181686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="00181686" w:rsidRPr="00181686">
        <w:rPr>
          <w:rFonts w:ascii="Arial" w:hAnsi="Arial" w:cs="Arial"/>
          <w:b/>
          <w:bCs/>
          <w:spacing w:val="-3"/>
          <w:sz w:val="22"/>
          <w:szCs w:val="22"/>
          <w:u w:val="single"/>
        </w:rPr>
        <w:t>Parliamentary Crime and Misconduct Committee</w:t>
      </w:r>
      <w:r w:rsidRPr="00181686">
        <w:rPr>
          <w:rFonts w:ascii="Arial" w:hAnsi="Arial" w:cs="Arial"/>
          <w:b/>
          <w:sz w:val="22"/>
          <w:szCs w:val="22"/>
          <w:u w:val="single"/>
        </w:rPr>
        <w:t xml:space="preserve"> Report No. 86</w:t>
      </w:r>
      <w:r w:rsidR="00181686" w:rsidRPr="00181686">
        <w:rPr>
          <w:rFonts w:ascii="Arial" w:hAnsi="Arial" w:cs="Arial"/>
          <w:b/>
          <w:sz w:val="22"/>
          <w:szCs w:val="22"/>
          <w:u w:val="single"/>
        </w:rPr>
        <w:t>,</w:t>
      </w:r>
      <w:r w:rsidRPr="0018168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81686" w:rsidRPr="00181686">
        <w:rPr>
          <w:rFonts w:ascii="Arial" w:hAnsi="Arial" w:cs="Arial"/>
          <w:b/>
          <w:sz w:val="22"/>
          <w:szCs w:val="22"/>
          <w:u w:val="single"/>
        </w:rPr>
        <w:t xml:space="preserve">May 2012, </w:t>
      </w:r>
      <w:r w:rsidRPr="00181686">
        <w:rPr>
          <w:rFonts w:ascii="Arial" w:hAnsi="Arial" w:cs="Arial"/>
          <w:b/>
          <w:i/>
          <w:sz w:val="22"/>
          <w:szCs w:val="22"/>
          <w:u w:val="single"/>
        </w:rPr>
        <w:t>Three yearly review of the Crime and Misconduct Commission</w:t>
      </w:r>
    </w:p>
    <w:p w:rsidR="007E5E99" w:rsidRDefault="007E5E99" w:rsidP="007E5E99">
      <w:pPr>
        <w:pStyle w:val="Header"/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Attorney-General and Minister for Justice</w:t>
      </w:r>
    </w:p>
    <w:p w:rsidR="007E5E99" w:rsidRDefault="007E5E99" w:rsidP="007E5E99">
      <w:pPr>
        <w:pStyle w:val="Header"/>
        <w:pBdr>
          <w:bottom w:val="single" w:sz="4" w:space="1" w:color="auto"/>
        </w:pBdr>
      </w:pPr>
    </w:p>
    <w:p w:rsidR="007E5E99" w:rsidRPr="00833F86" w:rsidRDefault="007E5E99" w:rsidP="007E5E9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Section 292(f) of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Crime and Misconduct Act </w:t>
      </w:r>
      <w:r w:rsidRPr="00D33DCF">
        <w:rPr>
          <w:rFonts w:ascii="Arial" w:hAnsi="Arial" w:cs="Arial"/>
          <w:bCs/>
          <w:i/>
          <w:spacing w:val="-3"/>
          <w:sz w:val="22"/>
          <w:szCs w:val="22"/>
        </w:rPr>
        <w:t>2001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requires t</w:t>
      </w:r>
      <w:r w:rsidRPr="00D33DCF">
        <w:rPr>
          <w:rFonts w:ascii="Arial" w:hAnsi="Arial" w:cs="Arial"/>
          <w:bCs/>
          <w:spacing w:val="-3"/>
          <w:sz w:val="22"/>
          <w:szCs w:val="22"/>
        </w:rPr>
        <w:t>he</w:t>
      </w:r>
      <w:r w:rsidRPr="00537CA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Parliamentary Crime and Misconduct Committee (PCMC) to conduct a three yearly review of the activities of the Crime and Misconduct Commission (CMC). The PCMC must</w:t>
      </w:r>
      <w:r w:rsidRPr="00D33DCF">
        <w:rPr>
          <w:rFonts w:ascii="Arial" w:hAnsi="Arial" w:cs="Arial"/>
          <w:bCs/>
          <w:spacing w:val="-3"/>
          <w:sz w:val="22"/>
          <w:szCs w:val="22"/>
        </w:rPr>
        <w:t xml:space="preserve"> report to the Legislative Assembly about any further action that should be taken in relation to the </w:t>
      </w:r>
      <w:r w:rsidRPr="00D33DCF">
        <w:rPr>
          <w:rFonts w:ascii="Arial" w:hAnsi="Arial" w:cs="Arial"/>
          <w:bCs/>
          <w:i/>
          <w:spacing w:val="-3"/>
          <w:sz w:val="22"/>
          <w:szCs w:val="22"/>
        </w:rPr>
        <w:t>Crime and Misconduct Act 2001</w:t>
      </w:r>
      <w:r w:rsidRPr="00D33DCF">
        <w:rPr>
          <w:rFonts w:ascii="Arial" w:hAnsi="Arial" w:cs="Arial"/>
          <w:bCs/>
          <w:spacing w:val="-3"/>
          <w:sz w:val="22"/>
          <w:szCs w:val="22"/>
        </w:rPr>
        <w:t xml:space="preserve"> or the functions, powers and operations of the CMC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7E5E99" w:rsidRPr="00537CAC" w:rsidRDefault="007E5E99" w:rsidP="007E5E9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3F86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11 May 2012</w:t>
      </w:r>
      <w:r w:rsidRPr="00833F86"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sz w:val="22"/>
          <w:szCs w:val="22"/>
        </w:rPr>
        <w:t>PCMC</w:t>
      </w:r>
      <w:r w:rsidRPr="00833F86">
        <w:rPr>
          <w:rFonts w:ascii="Arial" w:hAnsi="Arial" w:cs="Arial"/>
          <w:sz w:val="22"/>
          <w:szCs w:val="22"/>
        </w:rPr>
        <w:t xml:space="preserve"> tabled Report </w:t>
      </w:r>
      <w:r>
        <w:rPr>
          <w:rFonts w:ascii="Arial" w:hAnsi="Arial" w:cs="Arial"/>
          <w:sz w:val="22"/>
          <w:szCs w:val="22"/>
        </w:rPr>
        <w:t>No. 86</w:t>
      </w:r>
      <w:r w:rsidRPr="00833F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Three Yearly Review of the Crime and Misconduct Commission </w:t>
      </w:r>
      <w:r>
        <w:rPr>
          <w:rFonts w:ascii="Arial" w:hAnsi="Arial" w:cs="Arial"/>
          <w:sz w:val="22"/>
          <w:szCs w:val="22"/>
        </w:rPr>
        <w:t xml:space="preserve">(PCMC Report) in the Legislative Assembly. </w:t>
      </w:r>
      <w:r w:rsidRPr="001041C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PCMC Report makes 38 recommendations that include </w:t>
      </w:r>
      <w:r w:rsidRPr="001041CC">
        <w:rPr>
          <w:rFonts w:ascii="Arial" w:hAnsi="Arial" w:cs="Arial"/>
          <w:sz w:val="22"/>
          <w:szCs w:val="22"/>
        </w:rPr>
        <w:t>changes to the opera</w:t>
      </w:r>
      <w:r>
        <w:rPr>
          <w:rFonts w:ascii="Arial" w:hAnsi="Arial" w:cs="Arial"/>
          <w:sz w:val="22"/>
          <w:szCs w:val="22"/>
        </w:rPr>
        <w:t>tions and procedures of the CMC,</w:t>
      </w:r>
      <w:r w:rsidRPr="001041CC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irections to successive PCMC</w:t>
      </w:r>
      <w:r w:rsidRPr="001041CC">
        <w:rPr>
          <w:rFonts w:ascii="Arial" w:hAnsi="Arial" w:cs="Arial"/>
          <w:sz w:val="22"/>
          <w:szCs w:val="22"/>
        </w:rPr>
        <w:t>s about matt</w:t>
      </w:r>
      <w:r>
        <w:rPr>
          <w:rFonts w:ascii="Arial" w:hAnsi="Arial" w:cs="Arial"/>
          <w:sz w:val="22"/>
          <w:szCs w:val="22"/>
        </w:rPr>
        <w:t xml:space="preserve">ers that require close monitoring in the future </w:t>
      </w:r>
      <w:r w:rsidRPr="001041CC">
        <w:rPr>
          <w:rFonts w:ascii="Arial" w:hAnsi="Arial" w:cs="Arial"/>
          <w:sz w:val="22"/>
          <w:szCs w:val="22"/>
        </w:rPr>
        <w:t xml:space="preserve">and requests for additional resources to the CMC for certain functions. </w:t>
      </w:r>
      <w:r>
        <w:rPr>
          <w:rFonts w:ascii="Arial" w:hAnsi="Arial" w:cs="Arial"/>
          <w:sz w:val="22"/>
          <w:szCs w:val="22"/>
        </w:rPr>
        <w:t>The Government’s interim response to the PCMC Report was tabled on 18 July 2012.</w:t>
      </w:r>
    </w:p>
    <w:p w:rsidR="007E5E99" w:rsidRPr="00E93C9D" w:rsidRDefault="007E5E99" w:rsidP="007E5E9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93C9D">
        <w:rPr>
          <w:rFonts w:ascii="Arial" w:hAnsi="Arial" w:cs="Arial"/>
          <w:sz w:val="22"/>
          <w:szCs w:val="22"/>
        </w:rPr>
        <w:t>The final Government response addresses all 38 recommendations of the PCMC Report No. 86</w:t>
      </w:r>
      <w:r>
        <w:rPr>
          <w:rFonts w:ascii="Arial" w:hAnsi="Arial" w:cs="Arial"/>
          <w:sz w:val="22"/>
          <w:szCs w:val="22"/>
        </w:rPr>
        <w:t>.</w:t>
      </w:r>
    </w:p>
    <w:p w:rsidR="007E5E99" w:rsidRPr="006F7A45" w:rsidRDefault="007E5E99" w:rsidP="007E5E9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tabling in the Legislative Assembly of the Government Response to the Parliamentary Crime and </w:t>
      </w:r>
      <w:r w:rsidRPr="003C18F4">
        <w:rPr>
          <w:rFonts w:ascii="Arial" w:hAnsi="Arial" w:cs="Arial"/>
          <w:bCs/>
          <w:spacing w:val="-3"/>
          <w:sz w:val="22"/>
          <w:szCs w:val="22"/>
        </w:rPr>
        <w:t>Misconduct</w:t>
      </w:r>
      <w:r>
        <w:rPr>
          <w:rFonts w:ascii="Arial" w:hAnsi="Arial" w:cs="Arial"/>
          <w:sz w:val="22"/>
          <w:szCs w:val="22"/>
        </w:rPr>
        <w:t xml:space="preserve"> Commission Report No. 86, May 2012, </w:t>
      </w:r>
      <w:r w:rsidRPr="00833F86">
        <w:rPr>
          <w:rFonts w:ascii="Arial" w:hAnsi="Arial" w:cs="Arial"/>
          <w:i/>
          <w:sz w:val="22"/>
          <w:szCs w:val="22"/>
        </w:rPr>
        <w:t>Three Yearly Review of the Crime and Misconduct Commission</w:t>
      </w:r>
      <w:r>
        <w:rPr>
          <w:rFonts w:ascii="Arial" w:hAnsi="Arial" w:cs="Arial"/>
          <w:sz w:val="22"/>
          <w:szCs w:val="22"/>
        </w:rPr>
        <w:t>.</w:t>
      </w:r>
    </w:p>
    <w:p w:rsidR="007E5E99" w:rsidRPr="000D3784" w:rsidRDefault="007E5E99" w:rsidP="007E5E9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0D3784">
        <w:rPr>
          <w:rFonts w:ascii="Arial" w:hAnsi="Arial" w:cs="Arial"/>
          <w:i/>
          <w:sz w:val="22"/>
          <w:szCs w:val="22"/>
          <w:u w:val="single"/>
        </w:rPr>
        <w:t>Attachments:</w:t>
      </w:r>
    </w:p>
    <w:p w:rsidR="007E5E99" w:rsidRPr="00072E4D" w:rsidRDefault="0021368B" w:rsidP="007E5E9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7E5E99" w:rsidRPr="00EE54E8">
          <w:rPr>
            <w:rStyle w:val="Hyperlink"/>
            <w:rFonts w:ascii="Arial" w:hAnsi="Arial" w:cs="Arial"/>
            <w:sz w:val="22"/>
            <w:szCs w:val="22"/>
          </w:rPr>
          <w:t xml:space="preserve">Government Response to the Parliamentary Crime and Misconduct Commission Report No. 86, </w:t>
        </w:r>
        <w:r w:rsidR="00181686" w:rsidRPr="00EE54E8">
          <w:rPr>
            <w:rStyle w:val="Hyperlink"/>
            <w:rFonts w:ascii="Arial" w:hAnsi="Arial" w:cs="Arial"/>
            <w:sz w:val="22"/>
            <w:szCs w:val="22"/>
          </w:rPr>
          <w:t>May 2012</w:t>
        </w:r>
        <w:r w:rsidR="007E5E99" w:rsidRPr="00EE54E8">
          <w:rPr>
            <w:rStyle w:val="Hyperlink"/>
            <w:rFonts w:ascii="Arial" w:hAnsi="Arial" w:cs="Arial"/>
            <w:sz w:val="22"/>
            <w:szCs w:val="22"/>
          </w:rPr>
          <w:t xml:space="preserve">, </w:t>
        </w:r>
        <w:r w:rsidR="007E5E99" w:rsidRPr="00EE54E8">
          <w:rPr>
            <w:rStyle w:val="Hyperlink"/>
            <w:rFonts w:ascii="Arial" w:hAnsi="Arial" w:cs="Arial"/>
            <w:i/>
            <w:sz w:val="22"/>
            <w:szCs w:val="22"/>
          </w:rPr>
          <w:t>Three Yearly Review of the Crime and Misconduct Commission</w:t>
        </w:r>
      </w:hyperlink>
      <w:r w:rsidR="007E5E99">
        <w:rPr>
          <w:rFonts w:ascii="Arial" w:hAnsi="Arial" w:cs="Arial"/>
          <w:sz w:val="22"/>
          <w:szCs w:val="22"/>
        </w:rPr>
        <w:t>.</w:t>
      </w:r>
    </w:p>
    <w:p w:rsidR="00526D74" w:rsidRPr="00072E4D" w:rsidRDefault="00526D74" w:rsidP="00545A68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sectPr w:rsidR="00526D74" w:rsidRPr="00072E4D" w:rsidSect="00EE54E8">
      <w:headerReference w:type="default" r:id="rId8"/>
      <w:pgSz w:w="11906" w:h="16838"/>
      <w:pgMar w:top="1440" w:right="851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4E" w:rsidRDefault="00073E4E" w:rsidP="00D6589B">
      <w:r>
        <w:separator/>
      </w:r>
    </w:p>
  </w:endnote>
  <w:endnote w:type="continuationSeparator" w:id="0">
    <w:p w:rsidR="00073E4E" w:rsidRDefault="00073E4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4E" w:rsidRDefault="00073E4E" w:rsidP="00D6589B">
      <w:r>
        <w:separator/>
      </w:r>
    </w:p>
  </w:footnote>
  <w:footnote w:type="continuationSeparator" w:id="0">
    <w:p w:rsidR="00073E4E" w:rsidRDefault="00073E4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E8" w:rsidRPr="00937A4A" w:rsidRDefault="00EE54E8" w:rsidP="00EE54E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EE54E8" w:rsidRPr="00937A4A" w:rsidRDefault="00EE54E8" w:rsidP="00EE54E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E54E8" w:rsidRPr="00937A4A" w:rsidRDefault="00EE54E8" w:rsidP="00EE54E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2012</w:t>
    </w:r>
  </w:p>
  <w:p w:rsidR="00545A68" w:rsidRPr="00151A05" w:rsidRDefault="00545A68" w:rsidP="00151A05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B3013"/>
    <w:multiLevelType w:val="hybridMultilevel"/>
    <w:tmpl w:val="27288A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1988"/>
    <w:rsid w:val="000430DD"/>
    <w:rsid w:val="00053894"/>
    <w:rsid w:val="00072E4D"/>
    <w:rsid w:val="00073E4E"/>
    <w:rsid w:val="000755CB"/>
    <w:rsid w:val="00080F8F"/>
    <w:rsid w:val="00090B36"/>
    <w:rsid w:val="00097EEF"/>
    <w:rsid w:val="001041CC"/>
    <w:rsid w:val="0013658B"/>
    <w:rsid w:val="00140936"/>
    <w:rsid w:val="00151A05"/>
    <w:rsid w:val="00181686"/>
    <w:rsid w:val="00190FBB"/>
    <w:rsid w:val="001B1BB2"/>
    <w:rsid w:val="001E209B"/>
    <w:rsid w:val="0021344B"/>
    <w:rsid w:val="0021368B"/>
    <w:rsid w:val="00326CCD"/>
    <w:rsid w:val="003B5871"/>
    <w:rsid w:val="003C18F4"/>
    <w:rsid w:val="004E064D"/>
    <w:rsid w:val="004E3AE1"/>
    <w:rsid w:val="00501C66"/>
    <w:rsid w:val="00526D74"/>
    <w:rsid w:val="00537CAB"/>
    <w:rsid w:val="00545A68"/>
    <w:rsid w:val="00576E6D"/>
    <w:rsid w:val="005E2DCC"/>
    <w:rsid w:val="00613104"/>
    <w:rsid w:val="00665FD4"/>
    <w:rsid w:val="006B1DFE"/>
    <w:rsid w:val="006F7A45"/>
    <w:rsid w:val="00732E22"/>
    <w:rsid w:val="00744656"/>
    <w:rsid w:val="007E5E99"/>
    <w:rsid w:val="008A4523"/>
    <w:rsid w:val="008B5B29"/>
    <w:rsid w:val="008F44CD"/>
    <w:rsid w:val="009F1BFD"/>
    <w:rsid w:val="00A21879"/>
    <w:rsid w:val="00A5219F"/>
    <w:rsid w:val="00A527A5"/>
    <w:rsid w:val="00A9008B"/>
    <w:rsid w:val="00BD28D8"/>
    <w:rsid w:val="00C07656"/>
    <w:rsid w:val="00C56E01"/>
    <w:rsid w:val="00CE6FBA"/>
    <w:rsid w:val="00CF0D8A"/>
    <w:rsid w:val="00D33DCF"/>
    <w:rsid w:val="00D6589B"/>
    <w:rsid w:val="00D75134"/>
    <w:rsid w:val="00DB6FE7"/>
    <w:rsid w:val="00DE61EC"/>
    <w:rsid w:val="00E801E1"/>
    <w:rsid w:val="00E93C9D"/>
    <w:rsid w:val="00EE54E8"/>
    <w:rsid w:val="00F10DF9"/>
    <w:rsid w:val="00F56413"/>
    <w:rsid w:val="00F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EE5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Govt%20response%20to%20the%20PCMC%20%20Report%2086%20-%20Three%20Yearly%20Report%20of%20the%20CM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1353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1598</CharactersWithSpaces>
  <SharedDoc>false</SharedDoc>
  <HyperlinkBase>https://www.cabinet.qld.gov.au/documents/2012/Nov/Govt response to the three Yearly review/</HyperlinkBase>
  <HLinks>
    <vt:vector size="6" baseType="variant"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>Attachments/Govt response to the PCMC  Report 86 - Three Yearly Report of the CMC.PDF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2013-03-26T04:38:00Z</cp:lastPrinted>
  <dcterms:created xsi:type="dcterms:W3CDTF">2017-10-24T23:20:00Z</dcterms:created>
  <dcterms:modified xsi:type="dcterms:W3CDTF">2018-03-06T01:14:00Z</dcterms:modified>
  <cp:category>Crime_and_Misconduct_Commission,Parliament,Committees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